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78962CEC" w:rsidR="00A2208A" w:rsidRPr="0062408B" w:rsidRDefault="00A2208A" w:rsidP="00A2208A">
      <w:pPr>
        <w:tabs>
          <w:tab w:val="center" w:pos="4153"/>
          <w:tab w:val="right" w:pos="9923"/>
        </w:tabs>
        <w:spacing w:after="120" w:line="240" w:lineRule="auto"/>
        <w:jc w:val="both"/>
        <w:rPr>
          <w:rFonts w:eastAsia="Malgun Gothic"/>
          <w:b/>
          <w:bCs/>
          <w:sz w:val="28"/>
          <w:lang w:eastAsia="ko-KR"/>
        </w:rPr>
      </w:pPr>
      <w:r w:rsidRPr="0062408B">
        <w:rPr>
          <w:rFonts w:eastAsia="Malgun Gothic"/>
          <w:b/>
          <w:bCs/>
          <w:sz w:val="28"/>
        </w:rPr>
        <w:t>3GPP TSG RAN WG5 Meeting #</w:t>
      </w:r>
      <w:r>
        <w:rPr>
          <w:rFonts w:eastAsia="Malgun Gothic"/>
          <w:b/>
          <w:bCs/>
          <w:sz w:val="28"/>
        </w:rPr>
        <w:t>79</w:t>
      </w:r>
      <w:r w:rsidRPr="0062408B">
        <w:rPr>
          <w:rFonts w:eastAsia="Malgun Gothic"/>
          <w:b/>
          <w:bCs/>
          <w:sz w:val="28"/>
          <w:lang w:eastAsia="ko-KR"/>
        </w:rPr>
        <w:tab/>
      </w:r>
      <w:r w:rsidRPr="0062408B">
        <w:rPr>
          <w:rFonts w:eastAsia="Malgun Gothic"/>
          <w:b/>
          <w:bCs/>
          <w:sz w:val="28"/>
        </w:rPr>
        <w:t>R5-1</w:t>
      </w:r>
      <w:r>
        <w:rPr>
          <w:rFonts w:eastAsia="Malgun Gothic"/>
          <w:b/>
          <w:bCs/>
          <w:sz w:val="28"/>
        </w:rPr>
        <w:t>8</w:t>
      </w:r>
      <w:r w:rsidR="00896FEC">
        <w:rPr>
          <w:rFonts w:eastAsia="Malgun Gothic"/>
          <w:b/>
          <w:bCs/>
          <w:sz w:val="28"/>
        </w:rPr>
        <w:t>3007</w:t>
      </w:r>
    </w:p>
    <w:p w14:paraId="4A54CA72" w14:textId="10B5A417" w:rsidR="00A2208A" w:rsidRPr="00D87FD8" w:rsidRDefault="00A2208A"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Busan, Republic of Korea, 21</w:t>
      </w:r>
      <w:r w:rsidRPr="00A2208A">
        <w:rPr>
          <w:rFonts w:eastAsia="Malgun Gothic"/>
          <w:b/>
          <w:bCs/>
          <w:sz w:val="28"/>
          <w:vertAlign w:val="superscript"/>
          <w:lang w:eastAsia="ko-KR"/>
        </w:rPr>
        <w:t>st</w:t>
      </w:r>
      <w:r>
        <w:rPr>
          <w:rFonts w:eastAsia="Malgun Gothic"/>
          <w:b/>
          <w:bCs/>
          <w:sz w:val="28"/>
          <w:lang w:eastAsia="ko-KR"/>
        </w:rPr>
        <w:t xml:space="preserve"> – 25</w:t>
      </w:r>
      <w:r w:rsidRPr="00A2208A">
        <w:rPr>
          <w:rFonts w:eastAsia="Malgun Gothic"/>
          <w:b/>
          <w:bCs/>
          <w:sz w:val="28"/>
          <w:vertAlign w:val="superscript"/>
          <w:lang w:eastAsia="ko-KR"/>
        </w:rPr>
        <w:t>th</w:t>
      </w:r>
      <w:r>
        <w:rPr>
          <w:rFonts w:eastAsia="Malgun Gothic"/>
          <w:b/>
          <w:bCs/>
          <w:sz w:val="28"/>
          <w:lang w:eastAsia="ko-KR"/>
        </w:rPr>
        <w:t xml:space="preserve"> May 2018</w:t>
      </w:r>
    </w:p>
    <w:p w14:paraId="31E7553A" w14:textId="77777777" w:rsidR="00A2208A" w:rsidRPr="00D87FD8" w:rsidRDefault="00A2208A" w:rsidP="00A2208A">
      <w:pPr>
        <w:rPr>
          <w:bCs/>
        </w:rPr>
      </w:pPr>
      <w:r w:rsidRPr="00D87FD8">
        <w:rPr>
          <w:b/>
        </w:rPr>
        <w:t>Source:</w:t>
      </w:r>
      <w:r w:rsidRPr="00D87FD8">
        <w:rPr>
          <w:b/>
        </w:rPr>
        <w:tab/>
      </w:r>
      <w:r w:rsidRPr="00D87FD8">
        <w:rPr>
          <w:b/>
        </w:rPr>
        <w:tab/>
      </w:r>
      <w:r w:rsidRPr="00D87FD8">
        <w:t>Rohde &amp; Schwarz</w:t>
      </w:r>
    </w:p>
    <w:p w14:paraId="12BD556F" w14:textId="280C21D0" w:rsidR="00A2208A" w:rsidRPr="0062408B" w:rsidRDefault="00A2208A" w:rsidP="00A2208A">
      <w:pPr>
        <w:ind w:left="2160" w:hanging="2160"/>
        <w:rPr>
          <w:b/>
        </w:rPr>
      </w:pPr>
      <w:r w:rsidRPr="0062408B">
        <w:rPr>
          <w:b/>
        </w:rPr>
        <w:t>Title:</w:t>
      </w:r>
      <w:r w:rsidRPr="0062408B">
        <w:rPr>
          <w:b/>
        </w:rPr>
        <w:tab/>
      </w:r>
      <w:r w:rsidR="00D87B3C">
        <w:rPr>
          <w:lang w:val="en-GB"/>
        </w:rPr>
        <w:t>DFF and IFF test system a</w:t>
      </w:r>
      <w:r w:rsidR="00D87B3C" w:rsidRPr="00BD2ECF">
        <w:rPr>
          <w:lang w:val="en-GB"/>
        </w:rPr>
        <w:t>ssumptions for assessing the</w:t>
      </w:r>
      <w:r w:rsidR="00D87B3C">
        <w:rPr>
          <w:lang w:val="en-GB"/>
        </w:rPr>
        <w:t xml:space="preserve"> FR2</w:t>
      </w:r>
      <w:r w:rsidR="00D87B3C" w:rsidRPr="00BD2ECF">
        <w:rPr>
          <w:lang w:val="en-GB"/>
        </w:rPr>
        <w:t xml:space="preserve"> measurement uncertainty</w:t>
      </w:r>
    </w:p>
    <w:p w14:paraId="0483421E" w14:textId="369138BA" w:rsidR="00A2208A" w:rsidRPr="0062408B" w:rsidRDefault="00A2208A" w:rsidP="00A2208A">
      <w:pPr>
        <w:rPr>
          <w:bCs/>
          <w:lang w:eastAsia="ja-JP"/>
        </w:rPr>
      </w:pPr>
      <w:r w:rsidRPr="0062408B">
        <w:rPr>
          <w:b/>
        </w:rPr>
        <w:t>Agenda Item:</w:t>
      </w:r>
      <w:r w:rsidRPr="0062408B">
        <w:tab/>
      </w:r>
      <w:r w:rsidRPr="0062408B">
        <w:tab/>
      </w:r>
      <w:r>
        <w:t>5.3.14.16</w:t>
      </w:r>
    </w:p>
    <w:p w14:paraId="3A8C349E" w14:textId="77777777" w:rsidR="00A2208A" w:rsidRPr="0062408B" w:rsidRDefault="00A2208A" w:rsidP="00A2208A">
      <w:pPr>
        <w:rPr>
          <w:sz w:val="18"/>
          <w:szCs w:val="18"/>
        </w:rPr>
      </w:pPr>
      <w:r w:rsidRPr="0062408B">
        <w:rPr>
          <w:b/>
        </w:rPr>
        <w:t>Document for:</w:t>
      </w:r>
      <w:r w:rsidRPr="0062408B">
        <w:tab/>
        <w:t>Endorsement</w:t>
      </w:r>
    </w:p>
    <w:p w14:paraId="7CA60390" w14:textId="77777777" w:rsidR="00B81FC7" w:rsidRPr="00936FA1" w:rsidRDefault="00B81FC7" w:rsidP="00B81FC7">
      <w:pPr>
        <w:pStyle w:val="berschrift1"/>
        <w:rPr>
          <w:rFonts w:cs="Arial"/>
        </w:rPr>
      </w:pPr>
      <w:r w:rsidRPr="00936FA1">
        <w:rPr>
          <w:rFonts w:cs="Arial"/>
        </w:rPr>
        <w:t>Introduction</w:t>
      </w:r>
    </w:p>
    <w:p w14:paraId="33D7BEB5" w14:textId="6899DAFD" w:rsidR="00A2208A" w:rsidRDefault="00A2208A" w:rsidP="008159B1">
      <w:pPr>
        <w:jc w:val="both"/>
        <w:rPr>
          <w:lang w:val="en-GB"/>
        </w:rPr>
      </w:pPr>
      <w:bookmarkStart w:id="0" w:name="OLE_LINK10"/>
      <w:bookmarkStart w:id="1" w:name="OLE_LINK11"/>
      <w:r>
        <w:rPr>
          <w:lang w:val="en-GB"/>
        </w:rPr>
        <w:t xml:space="preserve">For the determination of MUs a sample system setup for in-band UE RF conformance measurements excluding carrier aggregation has been introduced in RAN4 [1] for assessing the MU of maximum output power and receiver sensitivity TCs for the NR UE RF baseline system at that time. </w:t>
      </w:r>
    </w:p>
    <w:p w14:paraId="46BD82B9" w14:textId="5ABE3CEB" w:rsidR="00A2208A" w:rsidRDefault="00A2208A" w:rsidP="008159B1">
      <w:pPr>
        <w:jc w:val="both"/>
        <w:rPr>
          <w:lang w:val="en-GB"/>
        </w:rPr>
      </w:pPr>
      <w:r>
        <w:rPr>
          <w:lang w:val="en-GB"/>
        </w:rPr>
        <w:t xml:space="preserve">Meanwhile more test methods have been permitted and for the MU work of RAN5, the sample system has to consider all test cases. To this end, in this contribution, the sample system setup is evolved to cover carrier aggregation and out-of-band UE RF conformance measurements for FR2 and to consider DFF and IFF system aspects. </w:t>
      </w:r>
    </w:p>
    <w:p w14:paraId="59D92B3E" w14:textId="3BB7CC8E" w:rsidR="00FC45FA" w:rsidRPr="00936FA1" w:rsidRDefault="002A659B" w:rsidP="00FC45FA">
      <w:pPr>
        <w:pStyle w:val="berschrift1"/>
        <w:rPr>
          <w:rFonts w:cs="Arial"/>
        </w:rPr>
      </w:pPr>
      <w:r w:rsidRPr="00936FA1">
        <w:rPr>
          <w:rFonts w:cs="Arial"/>
        </w:rPr>
        <w:t>Discussion</w:t>
      </w:r>
    </w:p>
    <w:p w14:paraId="5653714E" w14:textId="5C4C00DF" w:rsidR="001C5363" w:rsidRDefault="001C5363" w:rsidP="00D821C8">
      <w:pPr>
        <w:rPr>
          <w:lang w:val="en-GB" w:eastAsia="en-US"/>
        </w:rPr>
      </w:pPr>
      <w:r>
        <w:rPr>
          <w:lang w:val="en-GB" w:eastAsia="en-US"/>
        </w:rPr>
        <w:t xml:space="preserve">The sample test system is outlined in </w:t>
      </w:r>
      <w:r>
        <w:rPr>
          <w:lang w:val="en-GB" w:eastAsia="en-US"/>
        </w:rPr>
        <w:fldChar w:fldCharType="begin"/>
      </w:r>
      <w:r>
        <w:rPr>
          <w:lang w:val="en-GB" w:eastAsia="en-US"/>
        </w:rPr>
        <w:instrText xml:space="preserve"> REF _Ref498601071 </w:instrText>
      </w:r>
      <w:r>
        <w:rPr>
          <w:lang w:val="en-GB" w:eastAsia="en-US"/>
        </w:rPr>
        <w:fldChar w:fldCharType="separate"/>
      </w:r>
      <w:r>
        <w:t xml:space="preserve">Figure </w:t>
      </w:r>
      <w:r>
        <w:rPr>
          <w:noProof/>
        </w:rPr>
        <w:t>1</w:t>
      </w:r>
      <w:r>
        <w:rPr>
          <w:lang w:val="en-GB" w:eastAsia="en-US"/>
        </w:rPr>
        <w:fldChar w:fldCharType="end"/>
      </w:r>
      <w:r>
        <w:rPr>
          <w:lang w:val="en-GB" w:eastAsia="en-US"/>
        </w:rPr>
        <w:t xml:space="preserve">. It consists of a switch unit with discrete switches, cables, power combiner/switch, an amplification unit that amplifies uplink and downlink paths, as well as the anechoic chamber with a measurement antenna and the UE. </w:t>
      </w:r>
      <w:r w:rsidR="00AA75F0">
        <w:rPr>
          <w:lang w:val="en-GB" w:eastAsia="en-US"/>
        </w:rPr>
        <w:t>The switching unit is design</w:t>
      </w:r>
      <w:r w:rsidR="00EE6EEE">
        <w:rPr>
          <w:lang w:val="en-GB" w:eastAsia="en-US"/>
        </w:rPr>
        <w:t>ed</w:t>
      </w:r>
      <w:r w:rsidR="00AA75F0">
        <w:rPr>
          <w:lang w:val="en-GB" w:eastAsia="en-US"/>
        </w:rPr>
        <w:t xml:space="preserve"> to cover all in</w:t>
      </w:r>
      <w:r w:rsidR="00E35ACC">
        <w:rPr>
          <w:lang w:val="en-GB" w:eastAsia="en-US"/>
        </w:rPr>
        <w:t>-</w:t>
      </w:r>
      <w:r w:rsidR="00A2208A">
        <w:rPr>
          <w:lang w:val="en-GB" w:eastAsia="en-US"/>
        </w:rPr>
        <w:t xml:space="preserve"> and out-of</w:t>
      </w:r>
      <w:r w:rsidR="00AA75F0">
        <w:rPr>
          <w:lang w:val="en-GB" w:eastAsia="en-US"/>
        </w:rPr>
        <w:t xml:space="preserve">-band test cases </w:t>
      </w:r>
      <w:r w:rsidR="00A2208A">
        <w:rPr>
          <w:lang w:val="en-GB" w:eastAsia="en-US"/>
        </w:rPr>
        <w:t xml:space="preserve">including </w:t>
      </w:r>
      <w:r w:rsidR="00AA75F0">
        <w:rPr>
          <w:lang w:val="en-GB" w:eastAsia="en-US"/>
        </w:rPr>
        <w:t>carrier aggregation</w:t>
      </w:r>
      <w:r w:rsidR="00A2208A">
        <w:rPr>
          <w:lang w:val="en-GB" w:eastAsia="en-US"/>
        </w:rPr>
        <w:t>. For the carrier aggregation two gNB sources can be combined at this stage of the setup and thus doubling the modulated bandwidth of a single gNB</w:t>
      </w:r>
      <w:r w:rsidR="00C50026">
        <w:rPr>
          <w:lang w:val="en-GB" w:eastAsia="en-US"/>
        </w:rPr>
        <w:t>.</w:t>
      </w:r>
    </w:p>
    <w:p w14:paraId="10ECAE97" w14:textId="0A6330BE" w:rsidR="001C5363" w:rsidRDefault="00AA75F0" w:rsidP="000E0AB9">
      <w:pPr>
        <w:rPr>
          <w:lang w:val="en-GB" w:eastAsia="en-US"/>
        </w:rPr>
      </w:pPr>
      <w:r>
        <w:rPr>
          <w:lang w:val="en-GB" w:eastAsia="en-US"/>
        </w:rPr>
        <w:t xml:space="preserve">The amplification unit is assumed to amplify uplink and downlink paths </w:t>
      </w:r>
      <w:r w:rsidRPr="00197F8E">
        <w:rPr>
          <w:lang w:val="en-GB" w:eastAsia="en-US"/>
        </w:rPr>
        <w:t>up to 35dB.</w:t>
      </w:r>
      <w:r>
        <w:rPr>
          <w:lang w:val="en-GB" w:eastAsia="en-US"/>
        </w:rPr>
        <w:t xml:space="preserve"> Suitable designs</w:t>
      </w:r>
      <w:r w:rsidR="001C2DAD">
        <w:rPr>
          <w:lang w:val="en-GB" w:eastAsia="en-US"/>
        </w:rPr>
        <w:t xml:space="preserve"> are left to test equipment or system vendors. </w:t>
      </w:r>
    </w:p>
    <w:p w14:paraId="23D11996" w14:textId="5A476DF6" w:rsidR="000E0AB9" w:rsidRPr="000E0AB9" w:rsidRDefault="000E0AB9" w:rsidP="000E0AB9">
      <w:pPr>
        <w:rPr>
          <w:lang w:val="en-GB" w:eastAsia="en-US"/>
        </w:rPr>
      </w:pPr>
      <w:r>
        <w:rPr>
          <w:noProof/>
          <w:lang w:eastAsia="en-US"/>
        </w:rPr>
        <w:drawing>
          <wp:inline distT="0" distB="0" distL="0" distR="0" wp14:anchorId="015265B7" wp14:editId="5BF65C15">
            <wp:extent cx="5943600" cy="1344295"/>
            <wp:effectExtent l="0" t="0" r="0" b="825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344295"/>
                    </a:xfrm>
                    <a:prstGeom prst="rect">
                      <a:avLst/>
                    </a:prstGeom>
                  </pic:spPr>
                </pic:pic>
              </a:graphicData>
            </a:graphic>
          </wp:inline>
        </w:drawing>
      </w:r>
    </w:p>
    <w:p w14:paraId="6744B99D" w14:textId="25869EDD" w:rsidR="003A4CFD" w:rsidRDefault="001C5363" w:rsidP="00D6612F">
      <w:pPr>
        <w:pStyle w:val="Beschriftung"/>
      </w:pPr>
      <w:bookmarkStart w:id="2" w:name="_Ref498601071"/>
      <w:r>
        <w:t xml:space="preserve">Figure </w:t>
      </w:r>
      <w:r>
        <w:fldChar w:fldCharType="begin"/>
      </w:r>
      <w:r>
        <w:instrText xml:space="preserve"> SEQ Figure \* ARABIC </w:instrText>
      </w:r>
      <w:r>
        <w:fldChar w:fldCharType="separate"/>
      </w:r>
      <w:r w:rsidR="00A63C08">
        <w:rPr>
          <w:noProof/>
        </w:rPr>
        <w:t>1</w:t>
      </w:r>
      <w:r>
        <w:fldChar w:fldCharType="end"/>
      </w:r>
      <w:bookmarkEnd w:id="2"/>
      <w:r>
        <w:t>: Sample Test System Block Diagram</w:t>
      </w:r>
    </w:p>
    <w:p w14:paraId="3230C1DA" w14:textId="031D58C7" w:rsidR="00E35ACC" w:rsidRDefault="00E35ACC" w:rsidP="006969ED">
      <w:pPr>
        <w:rPr>
          <w:lang w:val="en-GB" w:eastAsia="en-US"/>
        </w:rPr>
      </w:pPr>
      <w:r>
        <w:rPr>
          <w:lang w:val="en-GB" w:eastAsia="en-US"/>
        </w:rPr>
        <w:t xml:space="preserve">The total system losses depend largely on the operation frequency range. For the DFF system the free space path loss is determined by the range length between UE and measurement </w:t>
      </w:r>
      <w:r>
        <w:rPr>
          <w:lang w:val="en-GB" w:eastAsia="en-US"/>
        </w:rPr>
        <w:lastRenderedPageBreak/>
        <w:t xml:space="preserve">antenna which is given by the </w:t>
      </w:r>
      <w:proofErr w:type="spellStart"/>
      <w:r>
        <w:rPr>
          <w:lang w:val="en-GB" w:eastAsia="en-US"/>
        </w:rPr>
        <w:t>Fraunhofer</w:t>
      </w:r>
      <w:proofErr w:type="spellEnd"/>
      <w:r>
        <w:rPr>
          <w:lang w:val="en-GB" w:eastAsia="en-US"/>
        </w:rPr>
        <w:t xml:space="preserve"> distance, 2</w:t>
      </w:r>
      <w:r w:rsidRPr="00FB5D32">
        <w:rPr>
          <w:rFonts w:ascii="Times New Roman" w:hAnsi="Times New Roman" w:cs="Times New Roman"/>
          <w:i/>
          <w:lang w:val="en-GB" w:eastAsia="en-US"/>
        </w:rPr>
        <w:t>D</w:t>
      </w:r>
      <w:r w:rsidRPr="00A63C08">
        <w:rPr>
          <w:vertAlign w:val="superscript"/>
          <w:lang w:val="en-GB" w:eastAsia="en-US"/>
        </w:rPr>
        <w:t>2</w:t>
      </w:r>
      <w:r>
        <w:rPr>
          <w:lang w:val="en-GB" w:eastAsia="en-US"/>
        </w:rPr>
        <w:t>/</w:t>
      </w:r>
      <w:r w:rsidRPr="00A63C08">
        <w:rPr>
          <w:rFonts w:ascii="Symbol" w:hAnsi="Symbol"/>
          <w:lang w:val="en-GB" w:eastAsia="en-US"/>
        </w:rPr>
        <w:t></w:t>
      </w:r>
      <w:r>
        <w:rPr>
          <w:lang w:val="en-GB" w:eastAsia="en-US"/>
        </w:rPr>
        <w:t>, for D = 5cm and the upper frequency limit of the in-band operation of 43.5 GHz. Since for out-of-band test cases such as spurious emissions or blocking test cases the phase curvature is irrelevant, the same range length as for the in-band test cases can be applied.</w:t>
      </w:r>
    </w:p>
    <w:p w14:paraId="563ED732" w14:textId="4DBA9D57" w:rsidR="009316B5" w:rsidRDefault="00E35ACC" w:rsidP="006969ED">
      <w:pPr>
        <w:rPr>
          <w:lang w:val="en-GB" w:eastAsia="en-US"/>
        </w:rPr>
      </w:pPr>
      <w:r>
        <w:rPr>
          <w:lang w:val="en-GB" w:eastAsia="en-US"/>
        </w:rPr>
        <w:t xml:space="preserve">For the IFF system the free space path loss is dependent on the distance between the feed antenna and the reflector which is related to the reflector size and resulting quiet zone size. </w:t>
      </w:r>
    </w:p>
    <w:p w14:paraId="77125D74" w14:textId="552E3396" w:rsidR="006969ED" w:rsidRDefault="006969ED" w:rsidP="006969ED">
      <w:pPr>
        <w:rPr>
          <w:lang w:eastAsia="en-US"/>
        </w:rPr>
      </w:pPr>
      <w:r>
        <w:rPr>
          <w:lang w:val="en-GB" w:eastAsia="en-US"/>
        </w:rPr>
        <w:t xml:space="preserve">It should be noted that </w:t>
      </w:r>
      <w:r>
        <w:rPr>
          <w:lang w:eastAsia="en-US"/>
        </w:rPr>
        <w:t>the cable losses inside the anechoic chamber</w:t>
      </w:r>
      <w:r w:rsidR="00E35ACC">
        <w:rPr>
          <w:lang w:eastAsia="en-US"/>
        </w:rPr>
        <w:t>,</w:t>
      </w:r>
      <w:r w:rsidR="00E35ACC" w:rsidRPr="00E35ACC">
        <w:rPr>
          <w:lang w:eastAsia="en-US"/>
        </w:rPr>
        <w:t xml:space="preserve"> </w:t>
      </w:r>
      <w:r w:rsidR="00E35ACC">
        <w:rPr>
          <w:lang w:eastAsia="en-US"/>
        </w:rPr>
        <w:t>specifically the coaxial cables between the chamber interface and the measurement antenna,</w:t>
      </w:r>
      <w:r>
        <w:rPr>
          <w:lang w:eastAsia="en-US"/>
        </w:rPr>
        <w:t xml:space="preserve"> depend on the</w:t>
      </w:r>
      <w:r w:rsidR="00A2208A">
        <w:rPr>
          <w:lang w:eastAsia="en-US"/>
        </w:rPr>
        <w:t xml:space="preserve"> permitted method. For an IFF system typically the measurement antenna is fixed which allows to optimize the cable length. For a DFF setup the cable length depends on the</w:t>
      </w:r>
      <w:r>
        <w:rPr>
          <w:lang w:eastAsia="en-US"/>
        </w:rPr>
        <w:t xml:space="preserve"> range length</w:t>
      </w:r>
      <w:r w:rsidR="00A2208A">
        <w:rPr>
          <w:lang w:eastAsia="en-US"/>
        </w:rPr>
        <w:t xml:space="preserve"> due to the movement of the measurement antenna by the conical</w:t>
      </w:r>
      <w:r w:rsidR="00E35ACC">
        <w:rPr>
          <w:lang w:eastAsia="en-US"/>
        </w:rPr>
        <w:t xml:space="preserve"> </w:t>
      </w:r>
      <w:r w:rsidR="00A2208A">
        <w:rPr>
          <w:lang w:eastAsia="en-US"/>
        </w:rPr>
        <w:t>cut positioner.</w:t>
      </w:r>
      <w:r w:rsidR="00E35ACC">
        <w:rPr>
          <w:lang w:eastAsia="en-US"/>
        </w:rPr>
        <w:t xml:space="preserve"> For the calibration stage, the cable length</w:t>
      </w:r>
      <w:r>
        <w:rPr>
          <w:lang w:eastAsia="en-US"/>
        </w:rPr>
        <w:t xml:space="preserve"> between the chamber interface and the reference AUT</w:t>
      </w:r>
      <w:r w:rsidR="00E35ACC">
        <w:rPr>
          <w:lang w:eastAsia="en-US"/>
        </w:rPr>
        <w:t xml:space="preserve"> has to be taken into account</w:t>
      </w:r>
      <w:r>
        <w:rPr>
          <w:lang w:eastAsia="en-US"/>
        </w:rPr>
        <w:t xml:space="preserve">.  </w:t>
      </w:r>
    </w:p>
    <w:p w14:paraId="7903F5D9" w14:textId="65031239" w:rsidR="00D6612F" w:rsidRDefault="00D6612F" w:rsidP="00D6612F">
      <w:pPr>
        <w:rPr>
          <w:lang w:eastAsia="en-US"/>
        </w:rPr>
      </w:pPr>
      <w:r>
        <w:rPr>
          <w:lang w:eastAsia="en-US"/>
        </w:rPr>
        <w:t>Measurement uncertainties need to be derived based on the calibration stages</w:t>
      </w:r>
      <w:r w:rsidR="00A63C08">
        <w:rPr>
          <w:lang w:eastAsia="en-US"/>
        </w:rPr>
        <w:t xml:space="preserve"> for the conducted portion, outlined in </w:t>
      </w:r>
      <w:r w:rsidR="00A63C08">
        <w:rPr>
          <w:lang w:eastAsia="en-US"/>
        </w:rPr>
        <w:fldChar w:fldCharType="begin"/>
      </w:r>
      <w:r w:rsidR="00A63C08">
        <w:rPr>
          <w:lang w:eastAsia="en-US"/>
        </w:rPr>
        <w:instrText xml:space="preserve"> REF _Ref498607562 </w:instrText>
      </w:r>
      <w:r w:rsidR="00A63C08">
        <w:rPr>
          <w:lang w:eastAsia="en-US"/>
        </w:rPr>
        <w:fldChar w:fldCharType="separate"/>
      </w:r>
      <w:r w:rsidR="00A63C08">
        <w:t xml:space="preserve">Figure </w:t>
      </w:r>
      <w:r w:rsidR="00A63C08">
        <w:rPr>
          <w:noProof/>
        </w:rPr>
        <w:t>2</w:t>
      </w:r>
      <w:r w:rsidR="00A63C08">
        <w:rPr>
          <w:lang w:eastAsia="en-US"/>
        </w:rPr>
        <w:fldChar w:fldCharType="end"/>
      </w:r>
      <w:r w:rsidR="00A63C08">
        <w:rPr>
          <w:lang w:eastAsia="en-US"/>
        </w:rPr>
        <w:t>a, and the radiated portion</w:t>
      </w:r>
      <w:r w:rsidR="00E35ACC">
        <w:rPr>
          <w:lang w:eastAsia="en-US"/>
        </w:rPr>
        <w:t xml:space="preserve"> in</w:t>
      </w:r>
      <w:r w:rsidR="00A63C08">
        <w:rPr>
          <w:lang w:eastAsia="en-US"/>
        </w:rPr>
        <w:t xml:space="preserve"> </w:t>
      </w:r>
      <w:r w:rsidR="00A63C08">
        <w:rPr>
          <w:lang w:eastAsia="en-US"/>
        </w:rPr>
        <w:fldChar w:fldCharType="begin"/>
      </w:r>
      <w:r w:rsidR="00A63C08">
        <w:rPr>
          <w:lang w:eastAsia="en-US"/>
        </w:rPr>
        <w:instrText xml:space="preserve"> REF _Ref498607562 </w:instrText>
      </w:r>
      <w:r w:rsidR="00A63C08">
        <w:rPr>
          <w:lang w:eastAsia="en-US"/>
        </w:rPr>
        <w:fldChar w:fldCharType="separate"/>
      </w:r>
      <w:r w:rsidR="00A63C08">
        <w:t xml:space="preserve">Figure </w:t>
      </w:r>
      <w:r w:rsidR="00A63C08">
        <w:rPr>
          <w:noProof/>
        </w:rPr>
        <w:t>2</w:t>
      </w:r>
      <w:r w:rsidR="00A63C08">
        <w:rPr>
          <w:lang w:eastAsia="en-US"/>
        </w:rPr>
        <w:fldChar w:fldCharType="end"/>
      </w:r>
      <w:r w:rsidR="00A63C08">
        <w:rPr>
          <w:lang w:eastAsia="en-US"/>
        </w:rPr>
        <w:t xml:space="preserve">b. </w:t>
      </w:r>
    </w:p>
    <w:p w14:paraId="0C66FACF" w14:textId="58A94220" w:rsidR="000E0AB9" w:rsidRDefault="000E0AB9" w:rsidP="00A63C08">
      <w:pPr>
        <w:jc w:val="center"/>
        <w:rPr>
          <w:lang w:eastAsia="en-US"/>
        </w:rPr>
      </w:pPr>
      <w:r>
        <w:rPr>
          <w:noProof/>
          <w:lang w:eastAsia="en-US"/>
        </w:rPr>
        <w:drawing>
          <wp:inline distT="0" distB="0" distL="0" distR="0" wp14:anchorId="1CC79025" wp14:editId="3AD0DB25">
            <wp:extent cx="5281200" cy="1944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81200" cy="1944000"/>
                    </a:xfrm>
                    <a:prstGeom prst="rect">
                      <a:avLst/>
                    </a:prstGeom>
                  </pic:spPr>
                </pic:pic>
              </a:graphicData>
            </a:graphic>
          </wp:inline>
        </w:drawing>
      </w:r>
    </w:p>
    <w:p w14:paraId="53755D91" w14:textId="3A644106" w:rsidR="00A63C08" w:rsidRDefault="00A63C08" w:rsidP="00A63C08">
      <w:pPr>
        <w:jc w:val="center"/>
        <w:rPr>
          <w:lang w:eastAsia="en-US"/>
        </w:rPr>
      </w:pPr>
      <w:r>
        <w:rPr>
          <w:lang w:eastAsia="en-US"/>
        </w:rPr>
        <w:t>(a)</w:t>
      </w:r>
    </w:p>
    <w:p w14:paraId="331F6963" w14:textId="415EF06C" w:rsidR="00A63C08" w:rsidRDefault="000E0AB9" w:rsidP="00A63C08">
      <w:pPr>
        <w:jc w:val="center"/>
        <w:rPr>
          <w:lang w:eastAsia="en-US"/>
        </w:rPr>
      </w:pPr>
      <w:r>
        <w:rPr>
          <w:noProof/>
          <w:lang w:eastAsia="en-US"/>
        </w:rPr>
        <w:drawing>
          <wp:inline distT="0" distB="0" distL="0" distR="0" wp14:anchorId="723A3327" wp14:editId="1A2D48A5">
            <wp:extent cx="5403600" cy="2030400"/>
            <wp:effectExtent l="0" t="0" r="6985" b="825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3600" cy="2030400"/>
                    </a:xfrm>
                    <a:prstGeom prst="rect">
                      <a:avLst/>
                    </a:prstGeom>
                  </pic:spPr>
                </pic:pic>
              </a:graphicData>
            </a:graphic>
          </wp:inline>
        </w:drawing>
      </w:r>
    </w:p>
    <w:p w14:paraId="739F2615" w14:textId="6D3B94C6" w:rsidR="00A63C08" w:rsidRPr="00D6612F" w:rsidRDefault="00A63C08" w:rsidP="00A63C08">
      <w:pPr>
        <w:keepNext/>
        <w:jc w:val="center"/>
        <w:rPr>
          <w:lang w:eastAsia="en-US"/>
        </w:rPr>
      </w:pPr>
      <w:r>
        <w:rPr>
          <w:lang w:eastAsia="en-US"/>
        </w:rPr>
        <w:t>(b)</w:t>
      </w:r>
    </w:p>
    <w:p w14:paraId="64C0F147" w14:textId="67991490" w:rsidR="00A63C08" w:rsidRDefault="00A63C08" w:rsidP="00A63C08">
      <w:pPr>
        <w:pStyle w:val="Beschriftung"/>
      </w:pPr>
      <w:bookmarkStart w:id="3" w:name="_Ref498607562"/>
      <w:bookmarkEnd w:id="0"/>
      <w:bookmarkEnd w:id="1"/>
      <w:r>
        <w:t xml:space="preserve">Figure </w:t>
      </w:r>
      <w:r>
        <w:fldChar w:fldCharType="begin"/>
      </w:r>
      <w:r>
        <w:instrText xml:space="preserve"> SEQ Figure \* ARABIC </w:instrText>
      </w:r>
      <w:r>
        <w:fldChar w:fldCharType="separate"/>
      </w:r>
      <w:r>
        <w:rPr>
          <w:noProof/>
        </w:rPr>
        <w:t>2</w:t>
      </w:r>
      <w:r>
        <w:fldChar w:fldCharType="end"/>
      </w:r>
      <w:bookmarkEnd w:id="3"/>
      <w:r>
        <w:t>: Block diagram for the a) conducted, b) radiated calibration</w:t>
      </w:r>
    </w:p>
    <w:p w14:paraId="66902429" w14:textId="619643D7" w:rsidR="009316B5" w:rsidRDefault="00A63C08" w:rsidP="00DF443F">
      <w:pPr>
        <w:rPr>
          <w:lang w:eastAsia="en-US"/>
        </w:rPr>
      </w:pPr>
      <w:r>
        <w:rPr>
          <w:lang w:eastAsia="en-US"/>
        </w:rPr>
        <w:lastRenderedPageBreak/>
        <w:t>Two system block diagrams are evaluated for an EIRP test case using a spectrum analyzer</w:t>
      </w:r>
      <w:r w:rsidR="009316B5">
        <w:rPr>
          <w:lang w:eastAsia="en-US"/>
        </w:rPr>
        <w:t xml:space="preserve"> or power meter</w:t>
      </w:r>
      <w:r>
        <w:rPr>
          <w:lang w:eastAsia="en-US"/>
        </w:rPr>
        <w:t xml:space="preserve">, </w:t>
      </w:r>
      <w:r>
        <w:rPr>
          <w:lang w:eastAsia="en-US"/>
        </w:rPr>
        <w:fldChar w:fldCharType="begin"/>
      </w:r>
      <w:r>
        <w:rPr>
          <w:lang w:eastAsia="en-US"/>
        </w:rPr>
        <w:instrText xml:space="preserve"> REF _Ref498607766 </w:instrText>
      </w:r>
      <w:r>
        <w:rPr>
          <w:lang w:eastAsia="en-US"/>
        </w:rPr>
        <w:fldChar w:fldCharType="separate"/>
      </w:r>
      <w:r>
        <w:t xml:space="preserve">Figure </w:t>
      </w:r>
      <w:r>
        <w:rPr>
          <w:noProof/>
        </w:rPr>
        <w:t>3</w:t>
      </w:r>
      <w:r>
        <w:rPr>
          <w:lang w:eastAsia="en-US"/>
        </w:rPr>
        <w:fldChar w:fldCharType="end"/>
      </w:r>
      <w:r>
        <w:rPr>
          <w:lang w:eastAsia="en-US"/>
        </w:rPr>
        <w:t xml:space="preserve">a, and an EIS test case, </w:t>
      </w:r>
      <w:r>
        <w:rPr>
          <w:lang w:eastAsia="en-US"/>
        </w:rPr>
        <w:fldChar w:fldCharType="begin"/>
      </w:r>
      <w:r>
        <w:rPr>
          <w:lang w:eastAsia="en-US"/>
        </w:rPr>
        <w:instrText xml:space="preserve"> REF _Ref498607766 </w:instrText>
      </w:r>
      <w:r>
        <w:rPr>
          <w:lang w:eastAsia="en-US"/>
        </w:rPr>
        <w:fldChar w:fldCharType="separate"/>
      </w:r>
      <w:r>
        <w:t xml:space="preserve">Figure </w:t>
      </w:r>
      <w:r>
        <w:rPr>
          <w:noProof/>
        </w:rPr>
        <w:t>3</w:t>
      </w:r>
      <w:r>
        <w:rPr>
          <w:lang w:eastAsia="en-US"/>
        </w:rPr>
        <w:fldChar w:fldCharType="end"/>
      </w:r>
      <w:r>
        <w:rPr>
          <w:lang w:eastAsia="en-US"/>
        </w:rPr>
        <w:t xml:space="preserve">b. </w:t>
      </w:r>
    </w:p>
    <w:p w14:paraId="4BC98CBB" w14:textId="6D8EE382" w:rsidR="000E0AB9" w:rsidRDefault="000E0AB9" w:rsidP="00A63C08">
      <w:pPr>
        <w:rPr>
          <w:lang w:eastAsia="en-US"/>
        </w:rPr>
      </w:pPr>
      <w:r>
        <w:rPr>
          <w:noProof/>
          <w:lang w:eastAsia="en-US"/>
        </w:rPr>
        <w:drawing>
          <wp:inline distT="0" distB="0" distL="0" distR="0" wp14:anchorId="1DBAEE29" wp14:editId="7F0728DF">
            <wp:extent cx="5943600" cy="1289050"/>
            <wp:effectExtent l="0" t="0" r="0" b="635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289050"/>
                    </a:xfrm>
                    <a:prstGeom prst="rect">
                      <a:avLst/>
                    </a:prstGeom>
                  </pic:spPr>
                </pic:pic>
              </a:graphicData>
            </a:graphic>
          </wp:inline>
        </w:drawing>
      </w:r>
    </w:p>
    <w:p w14:paraId="0538CE7D" w14:textId="393BA057" w:rsidR="00A63C08" w:rsidRDefault="00A63C08" w:rsidP="00A63C08">
      <w:pPr>
        <w:jc w:val="center"/>
        <w:rPr>
          <w:lang w:eastAsia="en-US"/>
        </w:rPr>
      </w:pPr>
      <w:r>
        <w:rPr>
          <w:lang w:eastAsia="en-US"/>
        </w:rPr>
        <w:t>(a)</w:t>
      </w:r>
    </w:p>
    <w:p w14:paraId="2CF92B2C" w14:textId="70C73DEC" w:rsidR="000E0AB9" w:rsidRDefault="000E0AB9" w:rsidP="00A63C08">
      <w:pPr>
        <w:rPr>
          <w:lang w:eastAsia="en-US"/>
        </w:rPr>
      </w:pPr>
      <w:bookmarkStart w:id="4" w:name="_GoBack"/>
      <w:bookmarkEnd w:id="4"/>
      <w:r>
        <w:rPr>
          <w:noProof/>
          <w:lang w:eastAsia="en-US"/>
        </w:rPr>
        <w:drawing>
          <wp:inline distT="0" distB="0" distL="0" distR="0" wp14:anchorId="269F7255" wp14:editId="0F14AE2A">
            <wp:extent cx="5943600" cy="1246505"/>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246505"/>
                    </a:xfrm>
                    <a:prstGeom prst="rect">
                      <a:avLst/>
                    </a:prstGeom>
                  </pic:spPr>
                </pic:pic>
              </a:graphicData>
            </a:graphic>
          </wp:inline>
        </w:drawing>
      </w:r>
    </w:p>
    <w:p w14:paraId="1BED529E" w14:textId="6524BD20" w:rsidR="00A63C08" w:rsidRDefault="00A63C08" w:rsidP="00A63C08">
      <w:pPr>
        <w:jc w:val="center"/>
        <w:rPr>
          <w:lang w:eastAsia="en-US"/>
        </w:rPr>
      </w:pPr>
      <w:r>
        <w:rPr>
          <w:lang w:eastAsia="en-US"/>
        </w:rPr>
        <w:t>(b)</w:t>
      </w:r>
    </w:p>
    <w:p w14:paraId="4D786DA2" w14:textId="7D186D95" w:rsidR="00A63C08" w:rsidRDefault="00A63C08" w:rsidP="00A63C08">
      <w:pPr>
        <w:pStyle w:val="Beschriftung"/>
      </w:pPr>
      <w:bookmarkStart w:id="5" w:name="_Ref498607766"/>
      <w:r>
        <w:t xml:space="preserve">Figure </w:t>
      </w:r>
      <w:r>
        <w:fldChar w:fldCharType="begin"/>
      </w:r>
      <w:r>
        <w:instrText xml:space="preserve"> SEQ Figure \* ARABIC </w:instrText>
      </w:r>
      <w:r>
        <w:fldChar w:fldCharType="separate"/>
      </w:r>
      <w:r>
        <w:rPr>
          <w:noProof/>
        </w:rPr>
        <w:t>3</w:t>
      </w:r>
      <w:r>
        <w:fldChar w:fldCharType="end"/>
      </w:r>
      <w:bookmarkEnd w:id="5"/>
      <w:r>
        <w:t>: Block diagram for an a) EIRP test case, b) EIS test case</w:t>
      </w:r>
    </w:p>
    <w:p w14:paraId="2D30E492" w14:textId="0D205322" w:rsidR="00A63C08" w:rsidRDefault="00A63C08" w:rsidP="00A63C08">
      <w:pPr>
        <w:rPr>
          <w:lang w:eastAsia="en-US"/>
        </w:rPr>
      </w:pPr>
      <w:r>
        <w:rPr>
          <w:lang w:eastAsia="en-US"/>
        </w:rPr>
        <w:t xml:space="preserve">The specifications for most of the discrete components have been documented in the worksheet labeled </w:t>
      </w:r>
      <w:r w:rsidRPr="00A63C08">
        <w:rPr>
          <w:lang w:eastAsia="en-US"/>
        </w:rPr>
        <w:t>References</w:t>
      </w:r>
      <w:r>
        <w:rPr>
          <w:lang w:eastAsia="en-US"/>
        </w:rPr>
        <w:t xml:space="preserve">. </w:t>
      </w:r>
      <w:r w:rsidR="00C12EA5" w:rsidRPr="0077773B">
        <w:rPr>
          <w:lang w:val="en-GB" w:eastAsia="en-US"/>
        </w:rPr>
        <w:t xml:space="preserve">Based on </w:t>
      </w:r>
      <w:r w:rsidR="00C12EA5">
        <w:rPr>
          <w:lang w:val="en-GB" w:eastAsia="en-US"/>
        </w:rPr>
        <w:t>test system</w:t>
      </w:r>
      <w:r w:rsidR="00C12EA5" w:rsidRPr="0077773B">
        <w:rPr>
          <w:lang w:val="en-GB" w:eastAsia="en-US"/>
        </w:rPr>
        <w:t xml:space="preserve"> assumptions, the test equipment MUs for state-of-the-art VNAs, spectrum ana</w:t>
      </w:r>
      <w:r w:rsidR="00C12EA5">
        <w:rPr>
          <w:lang w:val="en-GB" w:eastAsia="en-US"/>
        </w:rPr>
        <w:t>lyser</w:t>
      </w:r>
      <w:r w:rsidR="00C12EA5" w:rsidRPr="0077773B">
        <w:rPr>
          <w:lang w:val="en-GB" w:eastAsia="en-US"/>
        </w:rPr>
        <w:t>s, and power meters can be determined from equipment data sheets. An overview of uncertainties for such equipment is shown in the attached Excel sheet.</w:t>
      </w:r>
    </w:p>
    <w:p w14:paraId="0ABEC570" w14:textId="39BC906D" w:rsidR="00845732" w:rsidRPr="00A63C08" w:rsidRDefault="00845732" w:rsidP="00A63C08">
      <w:pPr>
        <w:rPr>
          <w:lang w:eastAsia="en-US"/>
        </w:rPr>
      </w:pPr>
      <w:r w:rsidRPr="00845732">
        <w:rPr>
          <w:b/>
          <w:lang w:eastAsia="en-US"/>
        </w:rPr>
        <w:t>Proposal:</w:t>
      </w:r>
      <w:r>
        <w:rPr>
          <w:lang w:eastAsia="en-US"/>
        </w:rPr>
        <w:t xml:space="preserve"> it is agreed to use the outlined block diagram and underlying assumptions for the measurement uncertainty calculations </w:t>
      </w:r>
      <w:r w:rsidR="00197F8E">
        <w:rPr>
          <w:lang w:eastAsia="en-US"/>
        </w:rPr>
        <w:t>for DFF and IFF test</w:t>
      </w:r>
      <w:r>
        <w:rPr>
          <w:lang w:eastAsia="en-US"/>
        </w:rPr>
        <w:t xml:space="preserve"> system</w:t>
      </w:r>
      <w:r w:rsidR="00197F8E">
        <w:rPr>
          <w:lang w:eastAsia="en-US"/>
        </w:rPr>
        <w:t>s</w:t>
      </w:r>
      <w:r>
        <w:rPr>
          <w:lang w:eastAsia="en-US"/>
        </w:rPr>
        <w:t xml:space="preserve">. </w:t>
      </w:r>
    </w:p>
    <w:p w14:paraId="6A30F3C3" w14:textId="391DA457" w:rsidR="00EE0AC3" w:rsidRPr="00936FA1" w:rsidRDefault="00E74BCE" w:rsidP="00EE0AC3">
      <w:pPr>
        <w:pStyle w:val="berschrift1"/>
        <w:rPr>
          <w:rFonts w:cs="Arial"/>
        </w:rPr>
      </w:pPr>
      <w:r>
        <w:rPr>
          <w:rFonts w:cs="Arial"/>
        </w:rPr>
        <w:t>Summary</w:t>
      </w:r>
    </w:p>
    <w:p w14:paraId="79818CEA" w14:textId="5FAE5D71" w:rsidR="00197F8E" w:rsidRPr="00A63C08" w:rsidRDefault="00197F8E" w:rsidP="00DF443F">
      <w:pPr>
        <w:jc w:val="both"/>
        <w:rPr>
          <w:lang w:eastAsia="en-US"/>
        </w:rPr>
      </w:pPr>
      <w:r w:rsidRPr="00845732">
        <w:rPr>
          <w:b/>
          <w:lang w:eastAsia="en-US"/>
        </w:rPr>
        <w:t>Proposal:</w:t>
      </w:r>
      <w:r>
        <w:rPr>
          <w:lang w:eastAsia="en-US"/>
        </w:rPr>
        <w:t xml:space="preserve"> it is agreed to use the outlined block diagram and underlying assumptions for the measurement uncertainty calculations for DFF and IFF test systems. </w:t>
      </w:r>
    </w:p>
    <w:p w14:paraId="0B2C4AC6" w14:textId="4895ED80" w:rsidR="00AF2B58" w:rsidRDefault="00AF2B58" w:rsidP="00AF2B58">
      <w:pPr>
        <w:pStyle w:val="berschrift1"/>
        <w:numPr>
          <w:ilvl w:val="0"/>
          <w:numId w:val="0"/>
        </w:numPr>
        <w:ind w:left="432" w:hanging="432"/>
        <w:rPr>
          <w:rFonts w:cs="Arial"/>
        </w:rPr>
      </w:pPr>
      <w:bookmarkStart w:id="6" w:name="_Ref473660868"/>
      <w:bookmarkStart w:id="7" w:name="_Ref473660708"/>
      <w:bookmarkStart w:id="8" w:name="OLE_LINK6"/>
      <w:bookmarkStart w:id="9" w:name="OLE_LINK7"/>
      <w:r w:rsidRPr="00661C74">
        <w:rPr>
          <w:rFonts w:cs="Arial"/>
        </w:rPr>
        <w:t>References</w:t>
      </w:r>
    </w:p>
    <w:p w14:paraId="44B29C88" w14:textId="056F2E40" w:rsidR="00AF2B58" w:rsidRPr="000827E4" w:rsidRDefault="00A2208A">
      <w:pPr>
        <w:pStyle w:val="Listenabsatz"/>
        <w:numPr>
          <w:ilvl w:val="0"/>
          <w:numId w:val="46"/>
        </w:numPr>
        <w:spacing w:after="0" w:line="240" w:lineRule="auto"/>
        <w:rPr>
          <w:lang w:val="en-GB"/>
        </w:rPr>
      </w:pPr>
      <w:r w:rsidRPr="00A2208A">
        <w:rPr>
          <w:lang w:val="en-GB"/>
        </w:rPr>
        <w:t>R4-1713680</w:t>
      </w:r>
      <w:r w:rsidRPr="00661C74">
        <w:rPr>
          <w:lang w:val="en-GB"/>
        </w:rPr>
        <w:t xml:space="preserve">, FR2 NR UE RF Baseline Test System Assumptions for assessing the measurement uncertainty </w:t>
      </w:r>
      <w:r w:rsidRPr="00661C74">
        <w:rPr>
          <w:lang w:val="en-GB"/>
        </w:rPr>
        <w:tab/>
        <w:t>Rohde &amp; Schwarz, 3GPP TSG RAN WG4 Meeting #85, November 2017</w:t>
      </w:r>
    </w:p>
    <w:bookmarkEnd w:id="6"/>
    <w:bookmarkEnd w:id="7"/>
    <w:bookmarkEnd w:id="8"/>
    <w:bookmarkEnd w:id="9"/>
    <w:p w14:paraId="3F053A66" w14:textId="0C3F7631" w:rsidR="001B137F" w:rsidRPr="00936FA1" w:rsidRDefault="001B137F">
      <w:pPr>
        <w:spacing w:after="0" w:line="240" w:lineRule="auto"/>
        <w:rPr>
          <w:lang w:val="en-GB"/>
        </w:rPr>
      </w:pPr>
    </w:p>
    <w:sectPr w:rsidR="001B137F" w:rsidRPr="00936FA1" w:rsidSect="003838EA">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87B35" w14:textId="77777777" w:rsidR="008C3C49" w:rsidRDefault="008C3C49" w:rsidP="00371D7D">
      <w:r>
        <w:separator/>
      </w:r>
    </w:p>
  </w:endnote>
  <w:endnote w:type="continuationSeparator" w:id="0">
    <w:p w14:paraId="3208D45B" w14:textId="77777777" w:rsidR="008C3C49" w:rsidRDefault="008C3C4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76AABAB"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0E0AB9">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154AA" w14:textId="77777777" w:rsidR="008C3C49" w:rsidRDefault="008C3C49" w:rsidP="00371D7D">
      <w:r>
        <w:separator/>
      </w:r>
    </w:p>
  </w:footnote>
  <w:footnote w:type="continuationSeparator" w:id="0">
    <w:p w14:paraId="7C2B8215" w14:textId="77777777" w:rsidR="008C3C49" w:rsidRDefault="008C3C4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C0307"/>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06FB3"/>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3905"/>
    <w:rsid w:val="00586465"/>
    <w:rsid w:val="00590023"/>
    <w:rsid w:val="00594B54"/>
    <w:rsid w:val="005964E4"/>
    <w:rsid w:val="005A04AB"/>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96FEC"/>
    <w:rsid w:val="008A4F4D"/>
    <w:rsid w:val="008A5259"/>
    <w:rsid w:val="008B0514"/>
    <w:rsid w:val="008B12D0"/>
    <w:rsid w:val="008B3E44"/>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3C08"/>
    <w:rsid w:val="00A64C86"/>
    <w:rsid w:val="00A67985"/>
    <w:rsid w:val="00A6798F"/>
    <w:rsid w:val="00A7325E"/>
    <w:rsid w:val="00A76DBE"/>
    <w:rsid w:val="00A777EC"/>
    <w:rsid w:val="00A8311E"/>
    <w:rsid w:val="00A87C7B"/>
    <w:rsid w:val="00A95090"/>
    <w:rsid w:val="00A9514D"/>
    <w:rsid w:val="00A96690"/>
    <w:rsid w:val="00A97BF8"/>
    <w:rsid w:val="00AA04CC"/>
    <w:rsid w:val="00AA0D07"/>
    <w:rsid w:val="00AA0F9B"/>
    <w:rsid w:val="00AA3AF8"/>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5BF1"/>
    <w:rsid w:val="00D4657F"/>
    <w:rsid w:val="00D512B6"/>
    <w:rsid w:val="00D52C2F"/>
    <w:rsid w:val="00D60B40"/>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A3F9F-FDFE-4564-AA48-8883711DC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652</Words>
  <Characters>3720</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2018-05-11T16:33:00Z</dcterms:created>
  <dcterms:modified xsi:type="dcterms:W3CDTF">2018-05-12T04:38:00Z</dcterms:modified>
  <cp:category/>
</cp:coreProperties>
</file>